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8480" w14:textId="47B1F561" w:rsidR="00D904C0" w:rsidRPr="00D904C0" w:rsidRDefault="00D904C0" w:rsidP="00D904C0">
      <w:pPr>
        <w:jc w:val="center"/>
        <w:rPr>
          <w:rFonts w:cs="Times New Roman"/>
          <w:b/>
          <w:bCs/>
          <w:sz w:val="26"/>
          <w:szCs w:val="26"/>
        </w:rPr>
      </w:pPr>
      <w:r w:rsidRPr="00D904C0">
        <w:rPr>
          <w:rFonts w:cs="Times New Roman"/>
          <w:b/>
          <w:bCs/>
          <w:sz w:val="26"/>
          <w:szCs w:val="26"/>
        </w:rPr>
        <w:t xml:space="preserve">QT: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Hòa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giải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tranh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chấp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đất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đai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(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cấp</w:t>
      </w:r>
      <w:proofErr w:type="spellEnd"/>
      <w:r w:rsidRPr="00D904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b/>
          <w:bCs/>
          <w:sz w:val="26"/>
          <w:szCs w:val="26"/>
        </w:rPr>
        <w:t>xã</w:t>
      </w:r>
      <w:proofErr w:type="spellEnd"/>
      <w:r w:rsidRPr="00D904C0">
        <w:rPr>
          <w:rFonts w:cs="Times New Roman"/>
          <w:b/>
          <w:bCs/>
          <w:sz w:val="26"/>
          <w:szCs w:val="26"/>
        </w:rPr>
        <w:t>)</w:t>
      </w:r>
    </w:p>
    <w:p w14:paraId="150D22F1" w14:textId="1FFCD14B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904C0">
        <w:rPr>
          <w:rFonts w:cs="Times New Roman"/>
          <w:sz w:val="26"/>
          <w:szCs w:val="26"/>
        </w:rPr>
        <w:t>hiện:Cấp</w:t>
      </w:r>
      <w:proofErr w:type="spellEnd"/>
      <w:proofErr w:type="gram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</w:p>
    <w:p w14:paraId="511A0A26" w14:textId="40F5DF25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Loại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904C0">
        <w:rPr>
          <w:rFonts w:cs="Times New Roman"/>
          <w:sz w:val="26"/>
          <w:szCs w:val="26"/>
        </w:rPr>
        <w:t>tục:TTHC</w:t>
      </w:r>
      <w:proofErr w:type="spellEnd"/>
      <w:proofErr w:type="gram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luật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giao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định</w:t>
      </w:r>
      <w:proofErr w:type="spellEnd"/>
      <w:r w:rsidRPr="00D904C0">
        <w:rPr>
          <w:rFonts w:cs="Times New Roman"/>
          <w:sz w:val="26"/>
          <w:szCs w:val="26"/>
        </w:rPr>
        <w:t xml:space="preserve"> chi </w:t>
      </w:r>
      <w:proofErr w:type="spellStart"/>
      <w:r w:rsidRPr="00D904C0">
        <w:rPr>
          <w:rFonts w:cs="Times New Roman"/>
          <w:sz w:val="26"/>
          <w:szCs w:val="26"/>
        </w:rPr>
        <w:t>tiết</w:t>
      </w:r>
      <w:proofErr w:type="spellEnd"/>
    </w:p>
    <w:p w14:paraId="0CCB3677" w14:textId="337E716C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Lĩnh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904C0">
        <w:rPr>
          <w:rFonts w:cs="Times New Roman"/>
          <w:sz w:val="26"/>
          <w:szCs w:val="26"/>
        </w:rPr>
        <w:t>vực:Đất</w:t>
      </w:r>
      <w:proofErr w:type="spellEnd"/>
      <w:proofErr w:type="gram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</w:p>
    <w:p w14:paraId="6AF51F83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tự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p w14:paraId="5A580C11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(1) </w:t>
      </w: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tự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 xml:space="preserve">: </w:t>
      </w:r>
    </w:p>
    <w:p w14:paraId="1C230C80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</w:t>
      </w:r>
      <w:proofErr w:type="spellStart"/>
      <w:r w:rsidRPr="00D904C0">
        <w:rPr>
          <w:rFonts w:cs="Times New Roman"/>
          <w:sz w:val="26"/>
          <w:szCs w:val="26"/>
        </w:rPr>
        <w:t>Người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nghị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đơn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yêu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cầu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1D3429FE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trách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nhiệm</w:t>
      </w:r>
      <w:proofErr w:type="spellEnd"/>
      <w:r w:rsidRPr="00D904C0">
        <w:rPr>
          <w:rFonts w:cs="Times New Roman"/>
          <w:sz w:val="26"/>
          <w:szCs w:val="26"/>
        </w:rPr>
        <w:t xml:space="preserve">: </w:t>
      </w:r>
      <w:proofErr w:type="spellStart"/>
      <w:r w:rsidRPr="00D904C0">
        <w:rPr>
          <w:rFonts w:cs="Times New Roman"/>
          <w:sz w:val="26"/>
          <w:szCs w:val="26"/>
        </w:rPr>
        <w:t>thẩm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xác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minh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tìm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hiểu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phát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sinh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giấy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tờ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tài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liệu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quan</w:t>
      </w:r>
      <w:proofErr w:type="spellEnd"/>
      <w:r w:rsidRPr="00D904C0">
        <w:rPr>
          <w:rFonts w:cs="Times New Roman"/>
          <w:sz w:val="26"/>
          <w:szCs w:val="26"/>
        </w:rPr>
        <w:t xml:space="preserve"> do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cung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nguồn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gốc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quá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trạng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>.</w:t>
      </w:r>
    </w:p>
    <w:p w14:paraId="1120ED3F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 - Thành </w:t>
      </w:r>
      <w:proofErr w:type="spellStart"/>
      <w:r w:rsidRPr="00D904C0">
        <w:rPr>
          <w:rFonts w:cs="Times New Roman"/>
          <w:sz w:val="26"/>
          <w:szCs w:val="26"/>
        </w:rPr>
        <w:t>lập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để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. Thành </w:t>
      </w:r>
      <w:proofErr w:type="spellStart"/>
      <w:r w:rsidRPr="00D904C0">
        <w:rPr>
          <w:rFonts w:cs="Times New Roman"/>
          <w:sz w:val="26"/>
          <w:szCs w:val="26"/>
        </w:rPr>
        <w:t>phần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gồm</w:t>
      </w:r>
      <w:proofErr w:type="spellEnd"/>
      <w:r w:rsidRPr="00D904C0">
        <w:rPr>
          <w:rFonts w:cs="Times New Roman"/>
          <w:sz w:val="26"/>
          <w:szCs w:val="26"/>
        </w:rPr>
        <w:t xml:space="preserve">: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hoặc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đại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Mặt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trận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quốc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phường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thị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trấn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trưởng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phố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đô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thị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trưởng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thôn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thôn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người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uy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tín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trong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dòng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họ</w:t>
      </w:r>
      <w:proofErr w:type="spellEnd"/>
      <w:r w:rsidRPr="00D904C0">
        <w:rPr>
          <w:rFonts w:cs="Times New Roman"/>
          <w:sz w:val="26"/>
          <w:szCs w:val="26"/>
        </w:rPr>
        <w:t xml:space="preserve">, ở </w:t>
      </w:r>
      <w:proofErr w:type="spellStart"/>
      <w:r w:rsidRPr="00D904C0">
        <w:rPr>
          <w:rFonts w:cs="Times New Roman"/>
          <w:sz w:val="26"/>
          <w:szCs w:val="26"/>
        </w:rPr>
        <w:t>nơi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sinh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sống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nơi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làm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việc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người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độ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pháp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lý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thức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già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làng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chức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sắc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tôn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giáo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người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rõ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vụ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việc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đại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một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số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sinh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sống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lâu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phường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thị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trấn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rõ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nguồn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gốc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quá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thửa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đó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cán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bộ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địa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chính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bộ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tư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pháp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phường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thị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trấn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  <w:proofErr w:type="spellStart"/>
      <w:r w:rsidRPr="00D904C0">
        <w:rPr>
          <w:rFonts w:cs="Times New Roman"/>
          <w:sz w:val="26"/>
          <w:szCs w:val="26"/>
        </w:rPr>
        <w:t>Tùy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từng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cụ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thể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thể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Phụ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nữ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Cựu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binh</w:t>
      </w:r>
      <w:proofErr w:type="spellEnd"/>
      <w:r w:rsidRPr="00D904C0">
        <w:rPr>
          <w:rFonts w:cs="Times New Roman"/>
          <w:sz w:val="26"/>
          <w:szCs w:val="26"/>
        </w:rPr>
        <w:t xml:space="preserve">, Đoàn Thanh </w:t>
      </w:r>
      <w:proofErr w:type="spellStart"/>
      <w:r w:rsidRPr="00D904C0">
        <w:rPr>
          <w:rFonts w:cs="Times New Roman"/>
          <w:sz w:val="26"/>
          <w:szCs w:val="26"/>
        </w:rPr>
        <w:t>niên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Cộng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Hồ</w:t>
      </w:r>
      <w:proofErr w:type="spellEnd"/>
      <w:r w:rsidRPr="00D904C0">
        <w:rPr>
          <w:rFonts w:cs="Times New Roman"/>
          <w:sz w:val="26"/>
          <w:szCs w:val="26"/>
        </w:rPr>
        <w:t xml:space="preserve"> Chí Minh </w:t>
      </w:r>
    </w:p>
    <w:p w14:paraId="521CD5C4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chức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cuộc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họp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sự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người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quyền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lợi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nghĩa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vụ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quan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  <w:proofErr w:type="spellStart"/>
      <w:r w:rsidRPr="00D904C0">
        <w:rPr>
          <w:rFonts w:cs="Times New Roman"/>
          <w:sz w:val="26"/>
          <w:szCs w:val="26"/>
        </w:rPr>
        <w:t>Việc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chỉ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đều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mặt</w:t>
      </w:r>
      <w:proofErr w:type="spellEnd"/>
      <w:r w:rsidRPr="00D904C0">
        <w:rPr>
          <w:rFonts w:cs="Times New Roman"/>
          <w:sz w:val="26"/>
          <w:szCs w:val="26"/>
        </w:rPr>
        <w:t xml:space="preserve">. Trường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một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trong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vắng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mặt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lần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thứ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thì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coi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việc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699A36DB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</w:t>
      </w:r>
      <w:proofErr w:type="spellStart"/>
      <w:r w:rsidRPr="00D904C0">
        <w:rPr>
          <w:rFonts w:cs="Times New Roman"/>
          <w:sz w:val="26"/>
          <w:szCs w:val="26"/>
        </w:rPr>
        <w:t>Kết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gồm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nội</w:t>
      </w:r>
      <w:proofErr w:type="spellEnd"/>
      <w:r w:rsidRPr="00D904C0">
        <w:rPr>
          <w:rFonts w:cs="Times New Roman"/>
          <w:sz w:val="26"/>
          <w:szCs w:val="26"/>
        </w:rPr>
        <w:t xml:space="preserve"> dung: </w:t>
      </w:r>
      <w:proofErr w:type="spellStart"/>
      <w:r w:rsidRPr="00D904C0">
        <w:rPr>
          <w:rFonts w:cs="Times New Roman"/>
          <w:sz w:val="26"/>
          <w:szCs w:val="26"/>
        </w:rPr>
        <w:t>Thời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địa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điểm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phần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dự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tóm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tắt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nội</w:t>
      </w:r>
      <w:proofErr w:type="spellEnd"/>
      <w:r w:rsidRPr="00D904C0">
        <w:rPr>
          <w:rFonts w:cs="Times New Roman"/>
          <w:sz w:val="26"/>
          <w:szCs w:val="26"/>
        </w:rPr>
        <w:t xml:space="preserve"> dung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thể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rõ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nguồn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gốc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thời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điểm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phát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sinh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(</w:t>
      </w:r>
      <w:proofErr w:type="spellStart"/>
      <w:r w:rsidRPr="00D904C0">
        <w:rPr>
          <w:rFonts w:cs="Times New Roman"/>
          <w:sz w:val="26"/>
          <w:szCs w:val="26"/>
        </w:rPr>
        <w:t>theo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minh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tìm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hiểu</w:t>
      </w:r>
      <w:proofErr w:type="spellEnd"/>
      <w:r w:rsidRPr="00D904C0">
        <w:rPr>
          <w:rFonts w:cs="Times New Roman"/>
          <w:sz w:val="26"/>
          <w:szCs w:val="26"/>
        </w:rPr>
        <w:t xml:space="preserve">); ý </w:t>
      </w:r>
      <w:proofErr w:type="spellStart"/>
      <w:r w:rsidRPr="00D904C0">
        <w:rPr>
          <w:rFonts w:cs="Times New Roman"/>
          <w:sz w:val="26"/>
          <w:szCs w:val="26"/>
        </w:rPr>
        <w:t>kiến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những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nội</w:t>
      </w:r>
      <w:proofErr w:type="spellEnd"/>
      <w:r w:rsidRPr="00D904C0">
        <w:rPr>
          <w:rFonts w:cs="Times New Roman"/>
          <w:sz w:val="26"/>
          <w:szCs w:val="26"/>
        </w:rPr>
        <w:t xml:space="preserve"> dung </w:t>
      </w:r>
      <w:proofErr w:type="spellStart"/>
      <w:r w:rsidRPr="00D904C0">
        <w:rPr>
          <w:rFonts w:cs="Times New Roman"/>
          <w:sz w:val="26"/>
          <w:szCs w:val="26"/>
        </w:rPr>
        <w:t>đã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thỏa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thuận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thỏa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thuận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chữ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ký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mặt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buổi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đóng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dấu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được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gửi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ngay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cho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lưu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5576E122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Sau </w:t>
      </w:r>
      <w:proofErr w:type="spellStart"/>
      <w:r w:rsidRPr="00D904C0">
        <w:rPr>
          <w:rFonts w:cs="Times New Roman"/>
          <w:sz w:val="26"/>
          <w:szCs w:val="26"/>
        </w:rPr>
        <w:t>thời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hạn</w:t>
      </w:r>
      <w:proofErr w:type="spellEnd"/>
      <w:r w:rsidRPr="00D904C0">
        <w:rPr>
          <w:rFonts w:cs="Times New Roman"/>
          <w:sz w:val="26"/>
          <w:szCs w:val="26"/>
        </w:rPr>
        <w:t xml:space="preserve"> 10 </w:t>
      </w:r>
      <w:proofErr w:type="spellStart"/>
      <w:r w:rsidRPr="00D904C0">
        <w:rPr>
          <w:rFonts w:cs="Times New Roman"/>
          <w:sz w:val="26"/>
          <w:szCs w:val="26"/>
        </w:rPr>
        <w:t>ngày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kể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từ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ngày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ý </w:t>
      </w:r>
      <w:proofErr w:type="spellStart"/>
      <w:r w:rsidRPr="00D904C0">
        <w:rPr>
          <w:rFonts w:cs="Times New Roman"/>
          <w:sz w:val="26"/>
          <w:szCs w:val="26"/>
        </w:rPr>
        <w:t>kiến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bằng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văn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nội</w:t>
      </w:r>
      <w:proofErr w:type="spellEnd"/>
      <w:r w:rsidRPr="00D904C0">
        <w:rPr>
          <w:rFonts w:cs="Times New Roman"/>
          <w:sz w:val="26"/>
          <w:szCs w:val="26"/>
        </w:rPr>
        <w:t xml:space="preserve"> dung </w:t>
      </w:r>
      <w:proofErr w:type="spellStart"/>
      <w:r w:rsidRPr="00D904C0">
        <w:rPr>
          <w:rFonts w:cs="Times New Roman"/>
          <w:sz w:val="26"/>
          <w:szCs w:val="26"/>
        </w:rPr>
        <w:t>khác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nội</w:t>
      </w:r>
      <w:proofErr w:type="spellEnd"/>
      <w:r w:rsidRPr="00D904C0">
        <w:rPr>
          <w:rFonts w:cs="Times New Roman"/>
          <w:sz w:val="26"/>
          <w:szCs w:val="26"/>
        </w:rPr>
        <w:t xml:space="preserve"> dung </w:t>
      </w:r>
      <w:proofErr w:type="spellStart"/>
      <w:r w:rsidRPr="00D904C0">
        <w:rPr>
          <w:rFonts w:cs="Times New Roman"/>
          <w:sz w:val="26"/>
          <w:szCs w:val="26"/>
        </w:rPr>
        <w:t>đã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thống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trong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thì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chức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cuộc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họp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để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xem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xét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ý </w:t>
      </w:r>
      <w:proofErr w:type="spellStart"/>
      <w:r w:rsidRPr="00D904C0">
        <w:rPr>
          <w:rFonts w:cs="Times New Roman"/>
          <w:sz w:val="26"/>
          <w:szCs w:val="26"/>
        </w:rPr>
        <w:t>kiến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bổ</w:t>
      </w:r>
      <w:proofErr w:type="spellEnd"/>
      <w:r w:rsidRPr="00D904C0">
        <w:rPr>
          <w:rFonts w:cs="Times New Roman"/>
          <w:sz w:val="26"/>
          <w:szCs w:val="26"/>
        </w:rPr>
        <w:t xml:space="preserve"> sung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hoặc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57F2FCBB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lastRenderedPageBreak/>
        <w:t xml:space="preserve">- Trường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đổi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trạng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thì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gửi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Phòng</w:t>
      </w:r>
      <w:proofErr w:type="spellEnd"/>
      <w:r w:rsidRPr="00D904C0">
        <w:rPr>
          <w:rFonts w:cs="Times New Roman"/>
          <w:sz w:val="26"/>
          <w:szCs w:val="26"/>
        </w:rPr>
        <w:t xml:space="preserve"> Tài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Môi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đai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giữa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đình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cộng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cư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nhau</w:t>
      </w:r>
      <w:proofErr w:type="spellEnd"/>
      <w:r w:rsidRPr="00D904C0">
        <w:rPr>
          <w:rFonts w:cs="Times New Roman"/>
          <w:sz w:val="26"/>
          <w:szCs w:val="26"/>
        </w:rPr>
        <w:t xml:space="preserve">; </w:t>
      </w:r>
      <w:proofErr w:type="spellStart"/>
      <w:r w:rsidRPr="00D904C0">
        <w:rPr>
          <w:rFonts w:cs="Times New Roman"/>
          <w:sz w:val="26"/>
          <w:szCs w:val="26"/>
        </w:rPr>
        <w:t>gửi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Sở</w:t>
      </w:r>
      <w:proofErr w:type="spellEnd"/>
      <w:r w:rsidRPr="00D904C0">
        <w:rPr>
          <w:rFonts w:cs="Times New Roman"/>
          <w:sz w:val="26"/>
          <w:szCs w:val="26"/>
        </w:rPr>
        <w:t xml:space="preserve"> Tài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Môi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khác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011C4F28" w14:textId="77777777" w:rsid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</w:t>
      </w:r>
      <w:proofErr w:type="spellStart"/>
      <w:r w:rsidRPr="00D904C0">
        <w:rPr>
          <w:rFonts w:cs="Times New Roman"/>
          <w:sz w:val="26"/>
          <w:szCs w:val="26"/>
        </w:rPr>
        <w:t>Phòng</w:t>
      </w:r>
      <w:proofErr w:type="spellEnd"/>
      <w:r w:rsidRPr="00D904C0">
        <w:rPr>
          <w:rFonts w:cs="Times New Roman"/>
          <w:sz w:val="26"/>
          <w:szCs w:val="26"/>
        </w:rPr>
        <w:t xml:space="preserve"> Tài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Môi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Sở</w:t>
      </w:r>
      <w:proofErr w:type="spellEnd"/>
      <w:r w:rsidRPr="00D904C0">
        <w:rPr>
          <w:rFonts w:cs="Times New Roman"/>
          <w:sz w:val="26"/>
          <w:szCs w:val="26"/>
        </w:rPr>
        <w:t xml:space="preserve"> Tài </w:t>
      </w:r>
      <w:proofErr w:type="spellStart"/>
      <w:r w:rsidRPr="00D904C0">
        <w:rPr>
          <w:rFonts w:cs="Times New Roman"/>
          <w:sz w:val="26"/>
          <w:szCs w:val="26"/>
        </w:rPr>
        <w:t>nguyên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Môi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trường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trình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Ủy</w:t>
      </w:r>
      <w:proofErr w:type="spell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cùng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định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nhận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việc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đổi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thửa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mới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Giấy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chứng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nhận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quyền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sử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dụng</w:t>
      </w:r>
      <w:proofErr w:type="spellEnd"/>
      <w:r w:rsidRPr="00D904C0">
        <w:rPr>
          <w:rFonts w:cs="Times New Roman"/>
          <w:sz w:val="26"/>
          <w:szCs w:val="26"/>
        </w:rPr>
        <w:t xml:space="preserve">. </w:t>
      </w:r>
    </w:p>
    <w:p w14:paraId="58C6CBD7" w14:textId="1FD67391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- Trường </w:t>
      </w:r>
      <w:proofErr w:type="spellStart"/>
      <w:r w:rsidRPr="00D904C0">
        <w:rPr>
          <w:rFonts w:cs="Times New Roman"/>
          <w:sz w:val="26"/>
          <w:szCs w:val="26"/>
        </w:rPr>
        <w:t>hợp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hoặc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sau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ít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nhất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một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trong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thay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đổi</w:t>
      </w:r>
      <w:proofErr w:type="spellEnd"/>
      <w:r w:rsidRPr="00D904C0">
        <w:rPr>
          <w:rFonts w:cs="Times New Roman"/>
          <w:sz w:val="26"/>
          <w:szCs w:val="26"/>
        </w:rPr>
        <w:t xml:space="preserve"> ý </w:t>
      </w:r>
      <w:proofErr w:type="spellStart"/>
      <w:r w:rsidRPr="00D904C0">
        <w:rPr>
          <w:rFonts w:cs="Times New Roman"/>
          <w:sz w:val="26"/>
          <w:szCs w:val="26"/>
        </w:rPr>
        <w:t>kiến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về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thì</w:t>
      </w:r>
      <w:proofErr w:type="spellEnd"/>
      <w:r w:rsidRPr="00D904C0">
        <w:rPr>
          <w:rFonts w:cs="Times New Roman"/>
          <w:sz w:val="26"/>
          <w:szCs w:val="26"/>
        </w:rPr>
        <w:t xml:space="preserve"> UBND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lập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và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hướng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dẫn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gửi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đơn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đến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cơ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quan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thẩm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quyền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quyết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tiếp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theo.</w:t>
      </w:r>
      <w:proofErr w:type="spellEnd"/>
    </w:p>
    <w:p w14:paraId="5D86DCA2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</w:p>
    <w:p w14:paraId="19CB116A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Cách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thức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371"/>
        <w:gridCol w:w="2211"/>
        <w:gridCol w:w="3360"/>
      </w:tblGrid>
      <w:tr w:rsidR="00D904C0" w:rsidRPr="00D904C0" w14:paraId="3E2127F9" w14:textId="77777777" w:rsidTr="00D904C0">
        <w:trPr>
          <w:tblHeader/>
        </w:trPr>
        <w:tc>
          <w:tcPr>
            <w:tcW w:w="183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7CBD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nộp</w:t>
            </w:r>
            <w:proofErr w:type="spellEnd"/>
          </w:p>
        </w:tc>
        <w:tc>
          <w:tcPr>
            <w:tcW w:w="237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33FF6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221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97FD6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3360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9E27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Mô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tả</w:t>
            </w:r>
            <w:proofErr w:type="spellEnd"/>
          </w:p>
        </w:tc>
      </w:tr>
      <w:tr w:rsidR="00D904C0" w:rsidRPr="00D904C0" w14:paraId="63B269D2" w14:textId="77777777" w:rsidTr="00D904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75F4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Trực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E6515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 xml:space="preserve">45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8A501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D904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(Theo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360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EF10E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: Trường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chưa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đầy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đủ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chưa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03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xử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hướng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dẫn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sung,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chỉnh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45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miền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núi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hải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đảo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sâu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xa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tăng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15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14:paraId="4E927EEC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Thành </w:t>
      </w:r>
      <w:proofErr w:type="spellStart"/>
      <w:r w:rsidRPr="00D904C0">
        <w:rPr>
          <w:rFonts w:cs="Times New Roman"/>
          <w:sz w:val="26"/>
          <w:szCs w:val="26"/>
        </w:rPr>
        <w:t>phần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hồ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sơ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p w14:paraId="651BF135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Bao </w:t>
      </w:r>
      <w:proofErr w:type="spellStart"/>
      <w:r w:rsidRPr="00D904C0">
        <w:rPr>
          <w:rFonts w:cs="Times New Roman"/>
          <w:sz w:val="26"/>
          <w:szCs w:val="26"/>
        </w:rPr>
        <w:t>gồm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D904C0" w:rsidRPr="00D904C0" w14:paraId="6D69A8D3" w14:textId="77777777" w:rsidTr="00D904C0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17769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lastRenderedPageBreak/>
              <w:t>Tên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EEC55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D5603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D904C0" w:rsidRPr="00D904C0" w14:paraId="58B33387" w14:textId="77777777" w:rsidTr="00D904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E8AAF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yêu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tranh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B21EE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196CF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>: 1</w:t>
            </w:r>
            <w:r w:rsidRPr="00D904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>: 0</w:t>
            </w:r>
          </w:p>
        </w:tc>
      </w:tr>
    </w:tbl>
    <w:p w14:paraId="6DCCA1F3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</w:p>
    <w:p w14:paraId="5E6DD44C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Đối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tượng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p w14:paraId="36764C8A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r w:rsidRPr="00D904C0">
        <w:rPr>
          <w:rFonts w:cs="Times New Roman"/>
          <w:sz w:val="26"/>
          <w:szCs w:val="26"/>
        </w:rPr>
        <w:t xml:space="preserve">Công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Việt Nam, Doanh </w:t>
      </w:r>
      <w:proofErr w:type="spellStart"/>
      <w:r w:rsidRPr="00D904C0">
        <w:rPr>
          <w:rFonts w:cs="Times New Roman"/>
          <w:sz w:val="26"/>
          <w:szCs w:val="26"/>
        </w:rPr>
        <w:t>nghiệp</w:t>
      </w:r>
      <w:proofErr w:type="spellEnd"/>
      <w:r w:rsidRPr="00D904C0">
        <w:rPr>
          <w:rFonts w:cs="Times New Roman"/>
          <w:sz w:val="26"/>
          <w:szCs w:val="26"/>
        </w:rPr>
        <w:t xml:space="preserve">, Doanh </w:t>
      </w:r>
      <w:proofErr w:type="spellStart"/>
      <w:r w:rsidRPr="00D904C0">
        <w:rPr>
          <w:rFonts w:cs="Times New Roman"/>
          <w:sz w:val="26"/>
          <w:szCs w:val="26"/>
        </w:rPr>
        <w:t>nghiệp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vốn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đầu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tư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nước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ngoài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Tổ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chức</w:t>
      </w:r>
      <w:proofErr w:type="spellEnd"/>
      <w:r w:rsidRPr="00D904C0">
        <w:rPr>
          <w:rFonts w:cs="Times New Roman"/>
          <w:sz w:val="26"/>
          <w:szCs w:val="26"/>
        </w:rPr>
        <w:t xml:space="preserve"> (</w:t>
      </w:r>
      <w:proofErr w:type="spellStart"/>
      <w:r w:rsidRPr="00D904C0">
        <w:rPr>
          <w:rFonts w:cs="Times New Roman"/>
          <w:sz w:val="26"/>
          <w:szCs w:val="26"/>
        </w:rPr>
        <w:t>không</w:t>
      </w:r>
      <w:proofErr w:type="spellEnd"/>
      <w:r w:rsidRPr="00D904C0">
        <w:rPr>
          <w:rFonts w:cs="Times New Roman"/>
          <w:sz w:val="26"/>
          <w:szCs w:val="26"/>
        </w:rPr>
        <w:t xml:space="preserve"> bao </w:t>
      </w:r>
      <w:proofErr w:type="spellStart"/>
      <w:r w:rsidRPr="00D904C0">
        <w:rPr>
          <w:rFonts w:cs="Times New Roman"/>
          <w:sz w:val="26"/>
          <w:szCs w:val="26"/>
        </w:rPr>
        <w:t>gồm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doanh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nghiệp</w:t>
      </w:r>
      <w:proofErr w:type="spellEnd"/>
      <w:r w:rsidRPr="00D904C0">
        <w:rPr>
          <w:rFonts w:cs="Times New Roman"/>
          <w:sz w:val="26"/>
          <w:szCs w:val="26"/>
        </w:rPr>
        <w:t>, HTX)</w:t>
      </w:r>
    </w:p>
    <w:p w14:paraId="3B820EFC" w14:textId="6B7F3EA0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Cơ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quan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904C0">
        <w:rPr>
          <w:rFonts w:cs="Times New Roman"/>
          <w:sz w:val="26"/>
          <w:szCs w:val="26"/>
        </w:rPr>
        <w:t>hiện:Ủy</w:t>
      </w:r>
      <w:proofErr w:type="spellEnd"/>
      <w:proofErr w:type="gramEnd"/>
      <w:r w:rsidRPr="00D904C0">
        <w:rPr>
          <w:rFonts w:cs="Times New Roman"/>
          <w:sz w:val="26"/>
          <w:szCs w:val="26"/>
        </w:rPr>
        <w:t xml:space="preserve"> ban </w:t>
      </w:r>
      <w:proofErr w:type="spellStart"/>
      <w:r w:rsidRPr="00D904C0">
        <w:rPr>
          <w:rFonts w:cs="Times New Roman"/>
          <w:sz w:val="26"/>
          <w:szCs w:val="26"/>
        </w:rPr>
        <w:t>nhân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dân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</w:p>
    <w:p w14:paraId="5DC1A1BA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Kết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quả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thực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hiện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p w14:paraId="6866477E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Biên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bản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chữ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ký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của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Chủ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tịch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Hội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đồng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tranh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chấp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mặt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tại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buổi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, </w:t>
      </w:r>
      <w:proofErr w:type="spellStart"/>
      <w:r w:rsidRPr="00D904C0">
        <w:rPr>
          <w:rFonts w:cs="Times New Roman"/>
          <w:sz w:val="26"/>
          <w:szCs w:val="26"/>
        </w:rPr>
        <w:t>các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thành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viên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tham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hòa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giải</w:t>
      </w:r>
      <w:proofErr w:type="spellEnd"/>
      <w:r w:rsidRPr="00D904C0">
        <w:rPr>
          <w:rFonts w:cs="Times New Roman"/>
          <w:sz w:val="26"/>
          <w:szCs w:val="26"/>
        </w:rPr>
        <w:t xml:space="preserve"> (</w:t>
      </w:r>
      <w:proofErr w:type="spellStart"/>
      <w:r w:rsidRPr="00D904C0">
        <w:rPr>
          <w:rFonts w:cs="Times New Roman"/>
          <w:sz w:val="26"/>
          <w:szCs w:val="26"/>
        </w:rPr>
        <w:t>có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đóng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dấu</w:t>
      </w:r>
      <w:proofErr w:type="spellEnd"/>
      <w:r w:rsidRPr="00D904C0">
        <w:rPr>
          <w:rFonts w:cs="Times New Roman"/>
          <w:sz w:val="26"/>
          <w:szCs w:val="26"/>
        </w:rPr>
        <w:t xml:space="preserve"> UBND </w:t>
      </w:r>
      <w:proofErr w:type="spellStart"/>
      <w:r w:rsidRPr="00D904C0">
        <w:rPr>
          <w:rFonts w:cs="Times New Roman"/>
          <w:sz w:val="26"/>
          <w:szCs w:val="26"/>
        </w:rPr>
        <w:t>câp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xã</w:t>
      </w:r>
      <w:proofErr w:type="spellEnd"/>
      <w:r w:rsidRPr="00D904C0">
        <w:rPr>
          <w:rFonts w:cs="Times New Roman"/>
          <w:sz w:val="26"/>
          <w:szCs w:val="26"/>
        </w:rPr>
        <w:t>)</w:t>
      </w:r>
    </w:p>
    <w:p w14:paraId="36D18E55" w14:textId="77777777" w:rsidR="00D904C0" w:rsidRPr="00D904C0" w:rsidRDefault="00D904C0" w:rsidP="00D904C0">
      <w:pPr>
        <w:jc w:val="both"/>
        <w:rPr>
          <w:rFonts w:cs="Times New Roman"/>
          <w:sz w:val="26"/>
          <w:szCs w:val="26"/>
        </w:rPr>
      </w:pPr>
      <w:proofErr w:type="spellStart"/>
      <w:r w:rsidRPr="00D904C0">
        <w:rPr>
          <w:rFonts w:cs="Times New Roman"/>
          <w:sz w:val="26"/>
          <w:szCs w:val="26"/>
        </w:rPr>
        <w:t>Căn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cứ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pháp</w:t>
      </w:r>
      <w:proofErr w:type="spellEnd"/>
      <w:r w:rsidRPr="00D904C0">
        <w:rPr>
          <w:rFonts w:cs="Times New Roman"/>
          <w:sz w:val="26"/>
          <w:szCs w:val="26"/>
        </w:rPr>
        <w:t xml:space="preserve"> </w:t>
      </w:r>
      <w:proofErr w:type="spellStart"/>
      <w:r w:rsidRPr="00D904C0">
        <w:rPr>
          <w:rFonts w:cs="Times New Roman"/>
          <w:sz w:val="26"/>
          <w:szCs w:val="26"/>
        </w:rPr>
        <w:t>lý</w:t>
      </w:r>
      <w:proofErr w:type="spellEnd"/>
      <w:r w:rsidRPr="00D904C0">
        <w:rPr>
          <w:rFonts w:cs="Times New Roman"/>
          <w:sz w:val="26"/>
          <w:szCs w:val="26"/>
        </w:rPr>
        <w:t>:</w:t>
      </w:r>
    </w:p>
    <w:tbl>
      <w:tblPr>
        <w:tblW w:w="10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857"/>
        <w:gridCol w:w="1953"/>
        <w:gridCol w:w="2496"/>
      </w:tblGrid>
      <w:tr w:rsidR="00D904C0" w:rsidRPr="00D904C0" w14:paraId="790EAB95" w14:textId="77777777" w:rsidTr="00D904C0">
        <w:trPr>
          <w:tblHeader/>
        </w:trPr>
        <w:tc>
          <w:tcPr>
            <w:tcW w:w="20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E196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8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0C1E1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Trích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95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AC98D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249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306F5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D904C0" w:rsidRPr="00D904C0" w14:paraId="279C6839" w14:textId="77777777" w:rsidTr="00D904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97761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8EA5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E119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06-01-2017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5391A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D904C0" w:rsidRPr="00D904C0" w14:paraId="78E724A6" w14:textId="77777777" w:rsidTr="00D904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71B04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426CB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11862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12AE3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 xml:space="preserve">Quốc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D904C0" w:rsidRPr="00D904C0" w14:paraId="313D64CB" w14:textId="77777777" w:rsidTr="00D904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5DA81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C7DC7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1F8E2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15-05-2014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5DBC8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D904C0" w:rsidRPr="00D904C0" w14:paraId="7BADFB75" w14:textId="77777777" w:rsidTr="00D904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0911F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148/2020/NĐ-CP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C0FC6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904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904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D904C0">
              <w:rPr>
                <w:rFonts w:cs="Times New Roman"/>
                <w:sz w:val="26"/>
                <w:szCs w:val="26"/>
              </w:rPr>
              <w:t xml:space="preserve"> 148/2020/NĐ-CP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62401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  <w:r w:rsidRPr="00D904C0">
              <w:rPr>
                <w:rFonts w:cs="Times New Roman"/>
                <w:sz w:val="26"/>
                <w:szCs w:val="26"/>
              </w:rPr>
              <w:t>18-12-2020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0049F" w14:textId="77777777" w:rsidR="00D904C0" w:rsidRPr="00D904C0" w:rsidRDefault="00D904C0" w:rsidP="00D904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09D61AB1" w14:textId="77777777" w:rsidR="00E928EA" w:rsidRPr="00D904C0" w:rsidRDefault="00E928EA" w:rsidP="00D904C0">
      <w:pPr>
        <w:jc w:val="both"/>
        <w:rPr>
          <w:rFonts w:cs="Times New Roman"/>
          <w:sz w:val="26"/>
          <w:szCs w:val="26"/>
        </w:rPr>
      </w:pPr>
    </w:p>
    <w:sectPr w:rsidR="00E928EA" w:rsidRPr="00D904C0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C0"/>
    <w:rsid w:val="00684550"/>
    <w:rsid w:val="00D74A82"/>
    <w:rsid w:val="00D904C0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278B"/>
  <w15:chartTrackingRefBased/>
  <w15:docId w15:val="{F9F9C91B-A068-4506-89D2-C9A5C73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2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12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08375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97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44557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74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86815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262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9152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96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53329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06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1289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3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760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53302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72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179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90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02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88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97703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57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95306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14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077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931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3080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40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07728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982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7971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32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505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86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22130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730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6C02-3710-4075-8C02-D90C402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2023-05-11T07:53:00Z</dcterms:created>
  <dcterms:modified xsi:type="dcterms:W3CDTF">2023-08-24T12:01:00Z</dcterms:modified>
</cp:coreProperties>
</file>