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F13B" w14:textId="2DE14AF6" w:rsidR="00136E18" w:rsidRPr="00136E18" w:rsidRDefault="00136E18" w:rsidP="00136E18">
      <w:pPr>
        <w:jc w:val="center"/>
        <w:rPr>
          <w:rFonts w:cs="Times New Roman"/>
          <w:b/>
          <w:bCs/>
          <w:sz w:val="26"/>
          <w:szCs w:val="26"/>
        </w:rPr>
      </w:pPr>
      <w:r w:rsidRPr="00136E18">
        <w:rPr>
          <w:rFonts w:cs="Times New Roman"/>
          <w:b/>
          <w:bCs/>
          <w:sz w:val="26"/>
          <w:szCs w:val="26"/>
        </w:rPr>
        <w:t>QT</w:t>
      </w:r>
      <w:r w:rsidR="000912CC">
        <w:rPr>
          <w:rFonts w:cs="Times New Roman"/>
          <w:b/>
          <w:bCs/>
          <w:sz w:val="26"/>
          <w:szCs w:val="26"/>
        </w:rPr>
        <w:t>5</w:t>
      </w:r>
      <w:r w:rsidRPr="00136E18">
        <w:rPr>
          <w:rFonts w:cs="Times New Roman"/>
          <w:b/>
          <w:bCs/>
          <w:sz w:val="26"/>
          <w:szCs w:val="26"/>
        </w:rPr>
        <w:t xml:space="preserve">: </w:t>
      </w:r>
      <w:r w:rsidR="000912CC">
        <w:rPr>
          <w:rFonts w:cs="Times New Roman"/>
          <w:b/>
          <w:bCs/>
          <w:sz w:val="26"/>
          <w:szCs w:val="26"/>
        </w:rPr>
        <w:t>G</w:t>
      </w:r>
      <w:r w:rsidRPr="00136E18">
        <w:rPr>
          <w:rFonts w:cs="Times New Roman"/>
          <w:b/>
          <w:bCs/>
          <w:sz w:val="26"/>
          <w:szCs w:val="26"/>
        </w:rPr>
        <w:t xml:space="preserve">ia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hạn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912CC">
        <w:rPr>
          <w:rFonts w:cs="Times New Roman"/>
          <w:b/>
          <w:bCs/>
          <w:sz w:val="26"/>
          <w:szCs w:val="26"/>
        </w:rPr>
        <w:t>quyền</w:t>
      </w:r>
      <w:proofErr w:type="spellEnd"/>
      <w:r w:rsidR="000912CC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sử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dụng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đất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ngoài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khu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công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nghệ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cao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khu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kinh</w:t>
      </w:r>
      <w:proofErr w:type="spellEnd"/>
      <w:r w:rsidRPr="00136E1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b/>
          <w:bCs/>
          <w:sz w:val="26"/>
          <w:szCs w:val="26"/>
        </w:rPr>
        <w:t>tế</w:t>
      </w:r>
      <w:proofErr w:type="spellEnd"/>
    </w:p>
    <w:p w14:paraId="73D7D50B" w14:textId="6A2A70B6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hiện:Cấp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Huyện</w:t>
      </w:r>
      <w:proofErr w:type="spellEnd"/>
    </w:p>
    <w:p w14:paraId="5104A0D4" w14:textId="7932D98B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Loại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tục:TTHC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được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luật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chi </w:t>
      </w:r>
      <w:proofErr w:type="spellStart"/>
      <w:r w:rsidRPr="00136E18">
        <w:rPr>
          <w:rFonts w:cs="Times New Roman"/>
          <w:sz w:val="26"/>
          <w:szCs w:val="26"/>
        </w:rPr>
        <w:t>tiết</w:t>
      </w:r>
      <w:proofErr w:type="spellEnd"/>
    </w:p>
    <w:p w14:paraId="02C93004" w14:textId="2ED0AB20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Lĩnh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vực:Đất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đai</w:t>
      </w:r>
      <w:proofErr w:type="spellEnd"/>
    </w:p>
    <w:p w14:paraId="7B43BE80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Trình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tự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p w14:paraId="22942BBB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a)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cầu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đề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nghị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tại</w:t>
      </w:r>
      <w:proofErr w:type="spellEnd"/>
      <w:r w:rsidRPr="00136E18">
        <w:rPr>
          <w:rFonts w:cs="Times New Roman"/>
          <w:sz w:val="26"/>
          <w:szCs w:val="26"/>
        </w:rPr>
        <w:t xml:space="preserve">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thuộc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Tài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hoặc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tiếp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theo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của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tỉnh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thành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phố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thuộc</w:t>
      </w:r>
      <w:proofErr w:type="spellEnd"/>
      <w:r w:rsidRPr="00136E18">
        <w:rPr>
          <w:rFonts w:cs="Times New Roman"/>
          <w:sz w:val="26"/>
          <w:szCs w:val="26"/>
        </w:rPr>
        <w:t xml:space="preserve"> Trung </w:t>
      </w:r>
      <w:proofErr w:type="spellStart"/>
      <w:r w:rsidRPr="00136E18">
        <w:rPr>
          <w:rFonts w:cs="Times New Roman"/>
          <w:sz w:val="26"/>
          <w:szCs w:val="26"/>
        </w:rPr>
        <w:t>ương</w:t>
      </w:r>
      <w:proofErr w:type="spellEnd"/>
      <w:r w:rsidRPr="00136E18">
        <w:rPr>
          <w:rFonts w:cs="Times New Roman"/>
          <w:sz w:val="26"/>
          <w:szCs w:val="26"/>
        </w:rPr>
        <w:t xml:space="preserve">. </w:t>
      </w:r>
      <w:proofErr w:type="spellStart"/>
      <w:r w:rsidRPr="00136E18">
        <w:rPr>
          <w:rFonts w:cs="Times New Roman"/>
          <w:sz w:val="26"/>
          <w:szCs w:val="26"/>
        </w:rPr>
        <w:t>Hộ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đình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cộng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đồng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cư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tại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nếu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cầu</w:t>
      </w:r>
      <w:proofErr w:type="spellEnd"/>
      <w:r w:rsidRPr="00136E18">
        <w:rPr>
          <w:rFonts w:cs="Times New Roman"/>
          <w:sz w:val="26"/>
          <w:szCs w:val="26"/>
        </w:rPr>
        <w:t xml:space="preserve">. Trường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chưa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đầy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đủ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chưa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lệ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thì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trong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đa</w:t>
      </w:r>
      <w:proofErr w:type="spellEnd"/>
      <w:r w:rsidRPr="00136E18">
        <w:rPr>
          <w:rFonts w:cs="Times New Roman"/>
          <w:sz w:val="26"/>
          <w:szCs w:val="26"/>
        </w:rPr>
        <w:t xml:space="preserve"> 03 </w:t>
      </w:r>
      <w:proofErr w:type="spellStart"/>
      <w:r w:rsidRPr="00136E18">
        <w:rPr>
          <w:rFonts w:cs="Times New Roman"/>
          <w:sz w:val="26"/>
          <w:szCs w:val="26"/>
        </w:rPr>
        <w:t>ngày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tiếp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xử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phải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thông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báo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hướng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dẫn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bổ</w:t>
      </w:r>
      <w:proofErr w:type="spellEnd"/>
      <w:r w:rsidRPr="00136E18">
        <w:rPr>
          <w:rFonts w:cs="Times New Roman"/>
          <w:sz w:val="26"/>
          <w:szCs w:val="26"/>
        </w:rPr>
        <w:t xml:space="preserve"> sung, </w:t>
      </w:r>
      <w:proofErr w:type="spellStart"/>
      <w:r w:rsidRPr="00136E18">
        <w:rPr>
          <w:rFonts w:cs="Times New Roman"/>
          <w:sz w:val="26"/>
          <w:szCs w:val="26"/>
        </w:rPr>
        <w:t>hoàn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chỉnh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theo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>.</w:t>
      </w:r>
    </w:p>
    <w:p w14:paraId="37B13D5D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b)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tiếp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ghi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đầy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thông</w:t>
      </w:r>
      <w:proofErr w:type="spellEnd"/>
      <w:r w:rsidRPr="00136E18">
        <w:rPr>
          <w:rFonts w:cs="Times New Roman"/>
          <w:sz w:val="26"/>
          <w:szCs w:val="26"/>
        </w:rPr>
        <w:t xml:space="preserve"> tin </w:t>
      </w:r>
      <w:proofErr w:type="spellStart"/>
      <w:r w:rsidRPr="00136E18">
        <w:rPr>
          <w:rFonts w:cs="Times New Roman"/>
          <w:sz w:val="26"/>
          <w:szCs w:val="26"/>
        </w:rPr>
        <w:t>vào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Sổ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tiếp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kết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quả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trao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Phiếu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tiếp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kết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. Trường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tại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thì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trong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03 </w:t>
      </w:r>
      <w:proofErr w:type="spellStart"/>
      <w:r w:rsidRPr="00136E18">
        <w:rPr>
          <w:rFonts w:cs="Times New Roman"/>
          <w:sz w:val="26"/>
          <w:szCs w:val="26"/>
        </w:rPr>
        <w:t>ngày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làm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việc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kể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từ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ngày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phải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chuyển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đến</w:t>
      </w:r>
      <w:proofErr w:type="spellEnd"/>
      <w:r w:rsidRPr="00136E18">
        <w:rPr>
          <w:rFonts w:cs="Times New Roman"/>
          <w:sz w:val="26"/>
          <w:szCs w:val="26"/>
        </w:rPr>
        <w:t xml:space="preserve">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>.</w:t>
      </w:r>
      <w:r w:rsidRPr="00136E18">
        <w:rPr>
          <w:rFonts w:cs="Times New Roman"/>
          <w:sz w:val="26"/>
          <w:szCs w:val="26"/>
        </w:rPr>
        <w:br/>
        <w:t xml:space="preserve">c)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chuyển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>.</w:t>
      </w:r>
      <w:r w:rsidRPr="00136E18">
        <w:rPr>
          <w:rFonts w:cs="Times New Roman"/>
          <w:sz w:val="26"/>
          <w:szCs w:val="26"/>
        </w:rPr>
        <w:br/>
        <w:t xml:space="preserve">d)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trách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nhiệm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thẩm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cầu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;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điều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kiện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được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thì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giao</w:t>
      </w:r>
      <w:proofErr w:type="spellEnd"/>
      <w:r w:rsidRPr="00136E18">
        <w:rPr>
          <w:rFonts w:cs="Times New Roman"/>
          <w:sz w:val="26"/>
          <w:szCs w:val="26"/>
        </w:rPr>
        <w:t xml:space="preserve">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gửi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thông</w:t>
      </w:r>
      <w:proofErr w:type="spellEnd"/>
      <w:r w:rsidRPr="00136E18">
        <w:rPr>
          <w:rFonts w:cs="Times New Roman"/>
          <w:sz w:val="26"/>
          <w:szCs w:val="26"/>
        </w:rPr>
        <w:t xml:space="preserve"> tin </w:t>
      </w:r>
      <w:proofErr w:type="spellStart"/>
      <w:r w:rsidRPr="00136E18">
        <w:rPr>
          <w:rFonts w:cs="Times New Roman"/>
          <w:sz w:val="26"/>
          <w:szCs w:val="26"/>
        </w:rPr>
        <w:t>địa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chính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thuế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để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xác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nghĩa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vụ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chính</w:t>
      </w:r>
      <w:proofErr w:type="spellEnd"/>
      <w:r w:rsidRPr="00136E18">
        <w:rPr>
          <w:rFonts w:cs="Times New Roman"/>
          <w:sz w:val="26"/>
          <w:szCs w:val="26"/>
        </w:rPr>
        <w:t xml:space="preserve">; </w:t>
      </w:r>
      <w:proofErr w:type="spellStart"/>
      <w:r w:rsidRPr="00136E18">
        <w:rPr>
          <w:rFonts w:cs="Times New Roman"/>
          <w:sz w:val="26"/>
          <w:szCs w:val="26"/>
        </w:rPr>
        <w:t>trình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cùng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quyết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;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đồng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thuê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thuê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; </w:t>
      </w:r>
      <w:proofErr w:type="spellStart"/>
      <w:r w:rsidRPr="00136E18">
        <w:rPr>
          <w:rFonts w:cs="Times New Roman"/>
          <w:sz w:val="26"/>
          <w:szCs w:val="26"/>
        </w:rPr>
        <w:t>chuyển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để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>.</w:t>
      </w:r>
    </w:p>
    <w:p w14:paraId="47D86073" w14:textId="258BFC24" w:rsid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đ)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Giấy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chứng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từ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xong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nghĩa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vụ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chính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được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>;</w:t>
      </w:r>
      <w:r w:rsidRPr="00136E18">
        <w:rPr>
          <w:rFonts w:cs="Times New Roman"/>
          <w:sz w:val="26"/>
          <w:szCs w:val="26"/>
        </w:rPr>
        <w:br/>
        <w:t xml:space="preserve">e) Văn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trách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nhiệm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xác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Giấy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; </w:t>
      </w:r>
      <w:proofErr w:type="spellStart"/>
      <w:r w:rsidRPr="00136E18">
        <w:rPr>
          <w:rFonts w:cs="Times New Roman"/>
          <w:sz w:val="26"/>
          <w:szCs w:val="26"/>
        </w:rPr>
        <w:t>trao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Giấy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được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hoặc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gửi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để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trao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nộp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tại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>.</w:t>
      </w:r>
      <w:r w:rsidRPr="00136E18">
        <w:rPr>
          <w:rFonts w:cs="Times New Roman"/>
          <w:sz w:val="26"/>
          <w:szCs w:val="26"/>
        </w:rPr>
        <w:br/>
        <w:t xml:space="preserve">g) </w:t>
      </w: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những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không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điều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kiện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được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gia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thì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thông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báo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làm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thủ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tục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theo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>.</w:t>
      </w:r>
    </w:p>
    <w:p w14:paraId="7D24B49C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03FE9B44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16517761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761C32BD" w14:textId="77777777" w:rsid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76E5968B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52F8E8E1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lastRenderedPageBreak/>
        <w:t>Cách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thức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371"/>
        <w:gridCol w:w="2309"/>
        <w:gridCol w:w="3262"/>
      </w:tblGrid>
      <w:tr w:rsidR="00136E18" w:rsidRPr="00136E18" w14:paraId="7DB2F22E" w14:textId="77777777" w:rsidTr="00136E18">
        <w:trPr>
          <w:tblHeader/>
        </w:trPr>
        <w:tc>
          <w:tcPr>
            <w:tcW w:w="183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AD60F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nộp</w:t>
            </w:r>
            <w:proofErr w:type="spellEnd"/>
          </w:p>
        </w:tc>
        <w:tc>
          <w:tcPr>
            <w:tcW w:w="237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2BA84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230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A3538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3262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861F5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Mô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tả</w:t>
            </w:r>
            <w:proofErr w:type="spellEnd"/>
          </w:p>
        </w:tc>
      </w:tr>
      <w:tr w:rsidR="00136E18" w:rsidRPr="00136E18" w14:paraId="78E837CC" w14:textId="77777777" w:rsidTr="00136E18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1CA6B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Trực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F4084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7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AD30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36E18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136E18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mức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).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thôn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. )</w:t>
            </w:r>
            <w:r w:rsidRPr="00136E18">
              <w:rPr>
                <w:rFonts w:cs="Times New Roman"/>
                <w:sz w:val="26"/>
                <w:szCs w:val="26"/>
              </w:rPr>
              <w:br/>
              <w:t>NQ 11.2017.NQ-HDND.pdf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EB3E6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Do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nhưng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07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nghỉ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lễ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xem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xét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phạm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trưng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miền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núi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đảo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sâu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biệt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tăng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10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03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14:paraId="7FB1849E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Thành </w:t>
      </w:r>
      <w:proofErr w:type="spellStart"/>
      <w:r w:rsidRPr="00136E18">
        <w:rPr>
          <w:rFonts w:cs="Times New Roman"/>
          <w:sz w:val="26"/>
          <w:szCs w:val="26"/>
        </w:rPr>
        <w:t>phần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p w14:paraId="583996CF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Bao </w:t>
      </w:r>
      <w:proofErr w:type="spellStart"/>
      <w:r w:rsidRPr="00136E18">
        <w:rPr>
          <w:rFonts w:cs="Times New Roman"/>
          <w:sz w:val="26"/>
          <w:szCs w:val="26"/>
        </w:rPr>
        <w:t>gồm</w:t>
      </w:r>
      <w:proofErr w:type="spell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295"/>
      </w:tblGrid>
      <w:tr w:rsidR="00136E18" w:rsidRPr="00136E18" w14:paraId="10795E7F" w14:textId="77777777" w:rsidTr="00136E18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B7551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07067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295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5004E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136E18" w:rsidRPr="00136E18" w14:paraId="75FBC04F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ADD6B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biến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động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09/ĐK;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D1CF3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09-ĐK.docx</w:t>
            </w:r>
          </w:p>
        </w:tc>
        <w:tc>
          <w:tcPr>
            <w:tcW w:w="1295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C7045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1</w:t>
            </w:r>
            <w:r w:rsidRPr="00136E18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lastRenderedPageBreak/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136E18" w:rsidRPr="00136E18" w14:paraId="466CB87B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D8E35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lastRenderedPageBreak/>
              <w:t>Giấy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57CAA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C77CD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1</w:t>
            </w:r>
            <w:r w:rsidRPr="00136E18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136E18" w:rsidRPr="00136E18" w14:paraId="05193C95" w14:textId="77777777" w:rsidTr="00136E18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E2BB0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Chứng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xong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ED314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4A5CC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1</w:t>
            </w:r>
            <w:r w:rsidRPr="00136E18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>: 0</w:t>
            </w:r>
          </w:p>
        </w:tc>
      </w:tr>
    </w:tbl>
    <w:p w14:paraId="3435DFD2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</w:p>
    <w:p w14:paraId="11D83DE7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tượng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p w14:paraId="2FCB8CC1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Công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Việt Nam, </w:t>
      </w:r>
      <w:proofErr w:type="spellStart"/>
      <w:r w:rsidRPr="00136E18">
        <w:rPr>
          <w:rFonts w:cs="Times New Roman"/>
          <w:sz w:val="26"/>
          <w:szCs w:val="26"/>
        </w:rPr>
        <w:t>Người</w:t>
      </w:r>
      <w:proofErr w:type="spellEnd"/>
      <w:r w:rsidRPr="00136E18">
        <w:rPr>
          <w:rFonts w:cs="Times New Roman"/>
          <w:sz w:val="26"/>
          <w:szCs w:val="26"/>
        </w:rPr>
        <w:t xml:space="preserve"> Việt Nam </w:t>
      </w:r>
      <w:proofErr w:type="spellStart"/>
      <w:r w:rsidRPr="00136E18">
        <w:rPr>
          <w:rFonts w:cs="Times New Roman"/>
          <w:sz w:val="26"/>
          <w:szCs w:val="26"/>
        </w:rPr>
        <w:t>định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cư</w:t>
      </w:r>
      <w:proofErr w:type="spellEnd"/>
      <w:r w:rsidRPr="00136E18">
        <w:rPr>
          <w:rFonts w:cs="Times New Roman"/>
          <w:sz w:val="26"/>
          <w:szCs w:val="26"/>
        </w:rPr>
        <w:t xml:space="preserve"> ở </w:t>
      </w:r>
      <w:proofErr w:type="spellStart"/>
      <w:r w:rsidRPr="00136E18">
        <w:rPr>
          <w:rFonts w:cs="Times New Roman"/>
          <w:sz w:val="26"/>
          <w:szCs w:val="26"/>
        </w:rPr>
        <w:t>nước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ngoài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bộ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công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chức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viên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chức</w:t>
      </w:r>
      <w:proofErr w:type="spellEnd"/>
      <w:r w:rsidRPr="00136E18">
        <w:rPr>
          <w:rFonts w:cs="Times New Roman"/>
          <w:sz w:val="26"/>
          <w:szCs w:val="26"/>
        </w:rPr>
        <w:t xml:space="preserve">, Doanh </w:t>
      </w:r>
      <w:proofErr w:type="spellStart"/>
      <w:r w:rsidRPr="00136E18">
        <w:rPr>
          <w:rFonts w:cs="Times New Roman"/>
          <w:sz w:val="26"/>
          <w:szCs w:val="26"/>
        </w:rPr>
        <w:t>nghiệp</w:t>
      </w:r>
      <w:proofErr w:type="spellEnd"/>
      <w:r w:rsidRPr="00136E18">
        <w:rPr>
          <w:rFonts w:cs="Times New Roman"/>
          <w:sz w:val="26"/>
          <w:szCs w:val="26"/>
        </w:rPr>
        <w:t xml:space="preserve">, Doanh </w:t>
      </w:r>
      <w:proofErr w:type="spellStart"/>
      <w:r w:rsidRPr="00136E18">
        <w:rPr>
          <w:rFonts w:cs="Times New Roman"/>
          <w:sz w:val="26"/>
          <w:szCs w:val="26"/>
        </w:rPr>
        <w:t>nghiệp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vốn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đầu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tư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nước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ngoài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Tổ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chức</w:t>
      </w:r>
      <w:proofErr w:type="spellEnd"/>
      <w:r w:rsidRPr="00136E18">
        <w:rPr>
          <w:rFonts w:cs="Times New Roman"/>
          <w:sz w:val="26"/>
          <w:szCs w:val="26"/>
        </w:rPr>
        <w:t xml:space="preserve"> (</w:t>
      </w:r>
      <w:proofErr w:type="spellStart"/>
      <w:r w:rsidRPr="00136E18">
        <w:rPr>
          <w:rFonts w:cs="Times New Roman"/>
          <w:sz w:val="26"/>
          <w:szCs w:val="26"/>
        </w:rPr>
        <w:t>không</w:t>
      </w:r>
      <w:proofErr w:type="spellEnd"/>
      <w:r w:rsidRPr="00136E18">
        <w:rPr>
          <w:rFonts w:cs="Times New Roman"/>
          <w:sz w:val="26"/>
          <w:szCs w:val="26"/>
        </w:rPr>
        <w:t xml:space="preserve"> bao </w:t>
      </w:r>
      <w:proofErr w:type="spellStart"/>
      <w:r w:rsidRPr="00136E18">
        <w:rPr>
          <w:rFonts w:cs="Times New Roman"/>
          <w:sz w:val="26"/>
          <w:szCs w:val="26"/>
        </w:rPr>
        <w:t>gồm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doanh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nghiệp</w:t>
      </w:r>
      <w:proofErr w:type="spellEnd"/>
      <w:r w:rsidRPr="00136E18">
        <w:rPr>
          <w:rFonts w:cs="Times New Roman"/>
          <w:sz w:val="26"/>
          <w:szCs w:val="26"/>
        </w:rPr>
        <w:t xml:space="preserve">, HTX),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tác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</w:p>
    <w:p w14:paraId="69B28E63" w14:textId="1754197F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hiện:Văn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huyện</w:t>
      </w:r>
      <w:proofErr w:type="spellEnd"/>
    </w:p>
    <w:p w14:paraId="52BFFB8F" w14:textId="1062CBD2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thẩm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quyền:Văn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đăng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ký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huyện</w:t>
      </w:r>
      <w:proofErr w:type="spellEnd"/>
    </w:p>
    <w:p w14:paraId="7244D20C" w14:textId="4BF6C824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136E18">
        <w:rPr>
          <w:rFonts w:cs="Times New Roman"/>
          <w:sz w:val="26"/>
          <w:szCs w:val="26"/>
        </w:rPr>
        <w:t>hợp:Cơ</w:t>
      </w:r>
      <w:proofErr w:type="spellEnd"/>
      <w:proofErr w:type="gram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thuế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Ủy</w:t>
      </w:r>
      <w:proofErr w:type="spellEnd"/>
      <w:r w:rsidRPr="00136E18">
        <w:rPr>
          <w:rFonts w:cs="Times New Roman"/>
          <w:sz w:val="26"/>
          <w:szCs w:val="26"/>
        </w:rPr>
        <w:t xml:space="preserve"> ban </w:t>
      </w:r>
      <w:proofErr w:type="spellStart"/>
      <w:r w:rsidRPr="00136E18">
        <w:rPr>
          <w:rFonts w:cs="Times New Roman"/>
          <w:sz w:val="26"/>
          <w:szCs w:val="26"/>
        </w:rPr>
        <w:t>nhân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dân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cấp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xã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Phòng</w:t>
      </w:r>
      <w:proofErr w:type="spellEnd"/>
      <w:r w:rsidRPr="00136E18">
        <w:rPr>
          <w:rFonts w:cs="Times New Roman"/>
          <w:sz w:val="26"/>
          <w:szCs w:val="26"/>
        </w:rPr>
        <w:t xml:space="preserve"> Tài </w:t>
      </w:r>
      <w:proofErr w:type="spellStart"/>
      <w:r w:rsidRPr="00136E18">
        <w:rPr>
          <w:rFonts w:cs="Times New Roman"/>
          <w:sz w:val="26"/>
          <w:szCs w:val="26"/>
        </w:rPr>
        <w:t>nguyên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Môi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</w:p>
    <w:p w14:paraId="553B01F5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Kết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quả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p w14:paraId="53C6E78C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Giấy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chứng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nhận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sở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hữu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nhà</w:t>
      </w:r>
      <w:proofErr w:type="spellEnd"/>
      <w:r w:rsidRPr="00136E18">
        <w:rPr>
          <w:rFonts w:cs="Times New Roman"/>
          <w:sz w:val="26"/>
          <w:szCs w:val="26"/>
        </w:rPr>
        <w:t xml:space="preserve"> ở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sản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khác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gắn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liền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tài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sản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khác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gắn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liền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Ghi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vào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sổ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địa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chính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lập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hồ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để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Nhà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nước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quản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lý</w:t>
      </w:r>
      <w:proofErr w:type="spellEnd"/>
      <w:r w:rsidRPr="00136E18">
        <w:rPr>
          <w:rFonts w:cs="Times New Roman"/>
          <w:sz w:val="26"/>
          <w:szCs w:val="26"/>
        </w:rPr>
        <w:t>.</w:t>
      </w:r>
    </w:p>
    <w:p w14:paraId="10ADD402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Căn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cứ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pháp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lý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857"/>
        <w:gridCol w:w="1953"/>
        <w:gridCol w:w="1938"/>
      </w:tblGrid>
      <w:tr w:rsidR="00136E18" w:rsidRPr="00136E18" w14:paraId="49EB953C" w14:textId="77777777" w:rsidTr="00136E18">
        <w:trPr>
          <w:tblHeader/>
        </w:trPr>
        <w:tc>
          <w:tcPr>
            <w:tcW w:w="20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B04A6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8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E4FC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Trích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95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7B90C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3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2D1E8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136E18" w:rsidRPr="00136E18" w14:paraId="6295CD12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9047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D8274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27695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06-01-2017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BEED3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136E18" w:rsidRPr="00136E18" w14:paraId="32C9B762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92320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55892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399A1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97EFE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Quốc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136E18" w:rsidRPr="00136E18" w14:paraId="5B6B798F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CEDA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lastRenderedPageBreak/>
              <w:t>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65C0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5B7FD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01BE9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136E18" w:rsidRPr="00136E18" w14:paraId="6059E0EA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33A77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6C710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F96DE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15-05-2014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B8568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136E18" w:rsidRPr="00136E18" w14:paraId="2924B0E2" w14:textId="77777777" w:rsidTr="00136E18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64DB1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F7397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23E1A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5218B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136E18" w:rsidRPr="00136E18" w14:paraId="086B7CBE" w14:textId="77777777" w:rsidTr="00136E18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28A57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24/2014/TT-BTNMT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22D4F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24/2014/TT-BTNMT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0F35B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r w:rsidRPr="00136E18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4EB17" w14:textId="77777777" w:rsidR="00136E18" w:rsidRPr="00136E18" w:rsidRDefault="00136E18" w:rsidP="00136E1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36E18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136E1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36E18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</w:tbl>
    <w:p w14:paraId="1E9D3F05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proofErr w:type="spellStart"/>
      <w:r w:rsidRPr="00136E18">
        <w:rPr>
          <w:rFonts w:cs="Times New Roman"/>
          <w:sz w:val="26"/>
          <w:szCs w:val="26"/>
        </w:rPr>
        <w:t>Yêu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cầu</w:t>
      </w:r>
      <w:proofErr w:type="spellEnd"/>
      <w:r w:rsidRPr="00136E18">
        <w:rPr>
          <w:rFonts w:cs="Times New Roman"/>
          <w:sz w:val="26"/>
          <w:szCs w:val="26"/>
        </w:rPr>
        <w:t xml:space="preserve">, </w:t>
      </w:r>
      <w:proofErr w:type="spellStart"/>
      <w:r w:rsidRPr="00136E18">
        <w:rPr>
          <w:rFonts w:cs="Times New Roman"/>
          <w:sz w:val="26"/>
          <w:szCs w:val="26"/>
        </w:rPr>
        <w:t>điều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kiện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thực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hiện</w:t>
      </w:r>
      <w:proofErr w:type="spellEnd"/>
      <w:r w:rsidRPr="00136E18">
        <w:rPr>
          <w:rFonts w:cs="Times New Roman"/>
          <w:sz w:val="26"/>
          <w:szCs w:val="26"/>
        </w:rPr>
        <w:t>:</w:t>
      </w:r>
    </w:p>
    <w:p w14:paraId="11876CEC" w14:textId="77777777" w:rsidR="00136E18" w:rsidRPr="00136E18" w:rsidRDefault="00136E18" w:rsidP="00136E18">
      <w:pPr>
        <w:jc w:val="both"/>
        <w:rPr>
          <w:rFonts w:cs="Times New Roman"/>
          <w:sz w:val="26"/>
          <w:szCs w:val="26"/>
        </w:rPr>
      </w:pPr>
      <w:r w:rsidRPr="00136E18">
        <w:rPr>
          <w:rFonts w:cs="Times New Roman"/>
          <w:sz w:val="26"/>
          <w:szCs w:val="26"/>
        </w:rPr>
        <w:t xml:space="preserve">- </w:t>
      </w:r>
      <w:proofErr w:type="spellStart"/>
      <w:r w:rsidRPr="00136E18">
        <w:rPr>
          <w:rFonts w:cs="Times New Roman"/>
          <w:sz w:val="26"/>
          <w:szCs w:val="26"/>
        </w:rPr>
        <w:t>Trước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khi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hết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sử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dụng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đất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thiểu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là</w:t>
      </w:r>
      <w:proofErr w:type="spellEnd"/>
      <w:r w:rsidRPr="00136E18">
        <w:rPr>
          <w:rFonts w:cs="Times New Roman"/>
          <w:sz w:val="26"/>
          <w:szCs w:val="26"/>
        </w:rPr>
        <w:t xml:space="preserve"> 06 </w:t>
      </w:r>
      <w:proofErr w:type="spellStart"/>
      <w:r w:rsidRPr="00136E18">
        <w:rPr>
          <w:rFonts w:cs="Times New Roman"/>
          <w:sz w:val="26"/>
          <w:szCs w:val="26"/>
        </w:rPr>
        <w:t>tháng</w:t>
      </w:r>
      <w:proofErr w:type="spellEnd"/>
      <w:r w:rsidRPr="00136E18">
        <w:rPr>
          <w:rFonts w:cs="Times New Roman"/>
          <w:sz w:val="26"/>
          <w:szCs w:val="26"/>
        </w:rPr>
        <w:t xml:space="preserve">. - Sau </w:t>
      </w:r>
      <w:proofErr w:type="spellStart"/>
      <w:r w:rsidRPr="00136E18">
        <w:rPr>
          <w:rFonts w:cs="Times New Roman"/>
          <w:sz w:val="26"/>
          <w:szCs w:val="26"/>
        </w:rPr>
        <w:t>khi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văn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bản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của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cơ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quan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thẩm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quyền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về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việc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điều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chỉnh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dự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đầu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tư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đối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với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trường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hợp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điều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chỉnh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dự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đầu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tư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mà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có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thay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đổi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thời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hạn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hoạt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động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của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dự</w:t>
      </w:r>
      <w:proofErr w:type="spellEnd"/>
      <w:r w:rsidRPr="00136E18">
        <w:rPr>
          <w:rFonts w:cs="Times New Roman"/>
          <w:sz w:val="26"/>
          <w:szCs w:val="26"/>
        </w:rPr>
        <w:t xml:space="preserve"> </w:t>
      </w:r>
      <w:proofErr w:type="spellStart"/>
      <w:r w:rsidRPr="00136E18">
        <w:rPr>
          <w:rFonts w:cs="Times New Roman"/>
          <w:sz w:val="26"/>
          <w:szCs w:val="26"/>
        </w:rPr>
        <w:t>án</w:t>
      </w:r>
      <w:proofErr w:type="spellEnd"/>
      <w:r w:rsidRPr="00136E18">
        <w:rPr>
          <w:rFonts w:cs="Times New Roman"/>
          <w:sz w:val="26"/>
          <w:szCs w:val="26"/>
        </w:rPr>
        <w:t>.</w:t>
      </w:r>
    </w:p>
    <w:p w14:paraId="678F37F4" w14:textId="77777777" w:rsidR="00E928EA" w:rsidRPr="00136E18" w:rsidRDefault="00E928EA" w:rsidP="00136E18">
      <w:pPr>
        <w:jc w:val="both"/>
        <w:rPr>
          <w:rFonts w:cs="Times New Roman"/>
          <w:sz w:val="26"/>
          <w:szCs w:val="26"/>
        </w:rPr>
      </w:pPr>
    </w:p>
    <w:sectPr w:rsidR="00E928EA" w:rsidRPr="00136E18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18"/>
    <w:rsid w:val="000912CC"/>
    <w:rsid w:val="00136E18"/>
    <w:rsid w:val="00684550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9F90"/>
  <w15:chartTrackingRefBased/>
  <w15:docId w15:val="{2B3009C6-B35F-4C64-8306-979DDCC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13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21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43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6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650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293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1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05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19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46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2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245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029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221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76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492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06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138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6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137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561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8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730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78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2023-05-11T07:40:00Z</dcterms:created>
  <dcterms:modified xsi:type="dcterms:W3CDTF">2023-08-24T12:08:00Z</dcterms:modified>
</cp:coreProperties>
</file>